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4F" w:rsidRPr="001C3C4F" w:rsidRDefault="001C3C4F" w:rsidP="001C3C4F">
      <w:pPr>
        <w:pStyle w:val="a3"/>
        <w:ind w:left="-85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C4F">
        <w:rPr>
          <w:rFonts w:ascii="Times New Roman" w:hAnsi="Times New Roman" w:cs="Times New Roman"/>
          <w:b/>
          <w:color w:val="000000"/>
          <w:sz w:val="28"/>
          <w:szCs w:val="28"/>
        </w:rPr>
        <w:t>ДЕТСКАЯ ТЕЛЕСТУДИЯ МАЛЫШ ТВ</w:t>
      </w:r>
    </w:p>
    <w:p w:rsidR="001C3C4F" w:rsidRDefault="001C3C4F" w:rsidP="001C3C4F">
      <w:pPr>
        <w:pStyle w:val="a3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51B">
        <w:rPr>
          <w:rFonts w:ascii="Times New Roman" w:hAnsi="Times New Roman" w:cs="Times New Roman"/>
          <w:color w:val="000000"/>
          <w:sz w:val="28"/>
          <w:szCs w:val="28"/>
        </w:rPr>
        <w:t>Расширяя возможности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51B">
        <w:rPr>
          <w:rFonts w:ascii="Times New Roman" w:hAnsi="Times New Roman" w:cs="Times New Roman"/>
          <w:color w:val="000000"/>
          <w:sz w:val="28"/>
          <w:szCs w:val="28"/>
        </w:rPr>
        <w:t>познания мира,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современные</w:t>
      </w:r>
      <w:r w:rsidRPr="0013651B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ети</w:t>
      </w:r>
      <w:r w:rsidRPr="00136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51B">
        <w:rPr>
          <w:rFonts w:ascii="Times New Roman" w:hAnsi="Times New Roman" w:cs="Times New Roman"/>
          <w:bCs/>
          <w:color w:val="000000"/>
          <w:sz w:val="28"/>
          <w:szCs w:val="28"/>
        </w:rPr>
        <w:t>активно используют средства цифровых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r w:rsidRPr="001365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ехнологий </w:t>
      </w:r>
      <w:r w:rsidRPr="0013651B">
        <w:rPr>
          <w:rFonts w:ascii="Times New Roman" w:hAnsi="Times New Roman" w:cs="Times New Roman"/>
          <w:color w:val="000000"/>
          <w:sz w:val="28"/>
          <w:szCs w:val="28"/>
        </w:rPr>
        <w:t>(телевидение, компьютер, телефон), что дает возможность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51B">
        <w:rPr>
          <w:rFonts w:ascii="Times New Roman" w:hAnsi="Times New Roman" w:cs="Times New Roman"/>
          <w:color w:val="000000"/>
          <w:sz w:val="28"/>
          <w:szCs w:val="28"/>
        </w:rPr>
        <w:t>их интеллектуального развития, стимулирует познавательную активность,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готовность к самообразованию. Организация игровой деятельности с использованием средств цифровых технологий пробуждает интерес ребёнка техническому образованию, выявляет и поддерживает инициативы ребёнка в проектировании, экспериментировании, конструировании.</w:t>
      </w:r>
    </w:p>
    <w:p w:rsidR="001C3C4F" w:rsidRPr="001C3C4F" w:rsidRDefault="001C3C4F" w:rsidP="001C3C4F">
      <w:pPr>
        <w:pStyle w:val="a3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2019-2020 учебном году на базе МАДОУ № 43 организована телестудия МАЛЫШ ТВ. </w:t>
      </w:r>
      <w:r w:rsidRPr="001C3C4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телестудии в формате практических тренингов, занимательных опытов, экскурсий, экспериментальной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предоставляет ребёнку </w:t>
      </w:r>
      <w:r w:rsidRPr="001C3C4F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задуматься, произвести выбор, сделать вывод, предложить свою идею или способ решения той или иной ситуации, сделать оценку продукта своего или коллективного труда.</w:t>
      </w:r>
    </w:p>
    <w:p w:rsidR="001C3C4F" w:rsidRDefault="001C3C4F" w:rsidP="001C3C4F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3C4F" w:rsidRPr="00D67AE3" w:rsidRDefault="001C3C4F" w:rsidP="001C3C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E3">
        <w:rPr>
          <w:rFonts w:ascii="Times New Roman" w:hAnsi="Times New Roman"/>
          <w:b/>
          <w:bCs/>
          <w:sz w:val="24"/>
          <w:szCs w:val="24"/>
        </w:rPr>
        <w:t>КАЛЕНДАРНО-ТЕМАТИЧЕСКИЙ ПЛАН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C3C4F" w:rsidRPr="007645DF" w:rsidRDefault="001C3C4F" w:rsidP="001C3C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4819"/>
        <w:gridCol w:w="1134"/>
        <w:gridCol w:w="992"/>
        <w:gridCol w:w="1276"/>
      </w:tblGrid>
      <w:tr w:rsidR="001C3C4F" w:rsidTr="00590063">
        <w:trPr>
          <w:trHeight w:val="278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раздела/темы</w:t>
            </w:r>
          </w:p>
        </w:tc>
        <w:tc>
          <w:tcPr>
            <w:tcW w:w="1134" w:type="dxa"/>
            <w:vMerge w:val="restart"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</w:p>
        </w:tc>
      </w:tr>
      <w:tr w:rsidR="001C3C4F" w:rsidTr="00590063">
        <w:trPr>
          <w:trHeight w:val="277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Первичная диагностика</w:t>
            </w:r>
          </w:p>
          <w:p w:rsidR="001C3C4F" w:rsidRPr="00115E68" w:rsidRDefault="001C3C4F" w:rsidP="001C3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Вводное   занятие, правила по технике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 xml:space="preserve">езопасности.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D32A1B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Знакомство с телестудией. Оборудование телестудии.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Оформление и выставка рисунков "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 и телевидение"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19" w:type="dxa"/>
          </w:tcPr>
          <w:p w:rsidR="001C3C4F" w:rsidRPr="00D32A1B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Изготовление поделок, атрибутов из подручного бросового материала для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сю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жетно-ролевой игры "Телестудия"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C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Экскурсия </w:t>
            </w:r>
            <w:proofErr w:type="gramStart"/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 телекомпанию</w:t>
            </w:r>
            <w:proofErr w:type="gramEnd"/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"Организация</w:t>
            </w:r>
          </w:p>
          <w:p w:rsidR="001C3C4F" w:rsidRPr="00CF4C12" w:rsidRDefault="001C3C4F" w:rsidP="001C3C4F">
            <w:pPr>
              <w:tabs>
                <w:tab w:val="center" w:pos="194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аботы в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ab/>
              <w:t xml:space="preserve">телекомпании «Слог-ТВ», знакомство с телевизионными профессиями.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занятие. История появления фото, видео искусства.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Просмотр видеофильма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"Эволюция видеокамеры".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C3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Объекты видеосъемки.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Знакомство с видами телепрограмм.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Введение  в</w:t>
            </w:r>
            <w:proofErr w:type="gramEnd"/>
            <w:r w:rsidRPr="00115E68">
              <w:rPr>
                <w:rFonts w:ascii="Times New Roman" w:hAnsi="Times New Roman" w:cs="Times New Roman"/>
                <w:sz w:val="20"/>
                <w:szCs w:val="20"/>
              </w:rPr>
              <w:t xml:space="preserve"> актерскую профессию.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Сюжетно-ролевая </w:t>
            </w:r>
            <w:proofErr w:type="gramStart"/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Игра  "</w:t>
            </w:r>
            <w:proofErr w:type="gramEnd"/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Журналисты"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DF2C3C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ечевые игры "Телеэфир"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устройством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фотоаппарат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видеокамер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Пополнение «Телестудии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«МАЛЫШ-ТВ»</w:t>
            </w: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C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Сюжетно - ролевая игра "Телестудия"</w:t>
            </w:r>
          </w:p>
          <w:p w:rsidR="001C3C4F" w:rsidRPr="00115E68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Этикет  телеведущего</w:t>
            </w:r>
            <w:proofErr w:type="gramEnd"/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Зачем нужен грим?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819" w:type="dxa"/>
          </w:tcPr>
          <w:p w:rsidR="001C3C4F" w:rsidRPr="00115E68" w:rsidRDefault="001C3C4F" w:rsidP="001C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Практикум и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нтервью в парах (ребенок-ребенок).</w:t>
            </w:r>
          </w:p>
          <w:p w:rsidR="001C3C4F" w:rsidRPr="00115E68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Составлени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 предложений по схеме - модели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C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Практикум и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нтервью в парах (ребенок-ребенок).</w:t>
            </w:r>
          </w:p>
          <w:p w:rsidR="001C3C4F" w:rsidRPr="00115E68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«Любимое время года»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 на тему "Кто такой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журналист?"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9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Практикум интервью (ребёнок -взрослый)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819" w:type="dxa"/>
          </w:tcPr>
          <w:p w:rsidR="001C3C4F" w:rsidRPr="00115E68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Основы  экранной</w:t>
            </w:r>
            <w:proofErr w:type="gramEnd"/>
            <w:r w:rsidRPr="00115E68">
              <w:rPr>
                <w:rFonts w:ascii="Times New Roman" w:hAnsi="Times New Roman" w:cs="Times New Roman"/>
                <w:sz w:val="20"/>
                <w:szCs w:val="20"/>
              </w:rPr>
              <w:t xml:space="preserve"> 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Д/и "Кому что нужно?" Разучивание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Скороговорок Работа с аудиосредствами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(ноутбук, микрофон, диктофон)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A77697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Речевые упражнения "Телеграф"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Беседа "Оператор и камера "Сюжетно-ролевая игра "Оператор"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C3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Диагностическое </w:t>
            </w: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 xml:space="preserve"> занятие</w:t>
            </w:r>
            <w:proofErr w:type="gramEnd"/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19" w:type="dxa"/>
          </w:tcPr>
          <w:p w:rsidR="001C3C4F" w:rsidRPr="00154500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Интервью со сверстниками на прогулке зимой "Зимние забавы" 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Беседа "Составление плана репортажа об интересном событии из жизни ДОУ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Игры "Зоркий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оператор"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54500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авление диалога по схеме-модели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E53E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Оформление выставки Упражнение "Оператор 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задний фон"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 Упражнение "Пойми меня без слов"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819" w:type="dxa"/>
          </w:tcPr>
          <w:p w:rsidR="001C3C4F" w:rsidRPr="00115E68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нтервью «Мой папа «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Самый лучший»</w:t>
            </w: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Просмотр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видео ресурса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«История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создания</w:t>
            </w:r>
          </w:p>
          <w:p w:rsidR="001C3C4F" w:rsidRPr="00115E68" w:rsidRDefault="001C3C4F" w:rsidP="00E53E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телевизора»</w:t>
            </w:r>
            <w:r w:rsidR="00E53E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создание детских газет (эволюция телевизора)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115E68" w:rsidRDefault="001C3C4F" w:rsidP="00E53E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Интервью со сверстниками на прогулке "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Весенняя капель</w:t>
            </w:r>
            <w:r w:rsidRPr="00115E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Default="001C3C4F" w:rsidP="00E5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Игра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«Звукооператор»</w:t>
            </w:r>
            <w:r w:rsidR="00E53E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E53E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создание детских газет</w:t>
            </w:r>
            <w:r w:rsidR="00E53E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(эволюция камеры/микрофона)</w:t>
            </w:r>
          </w:p>
          <w:p w:rsidR="00E53E72" w:rsidRPr="00115E68" w:rsidRDefault="00E53E72" w:rsidP="00E53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819" w:type="dxa"/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онкурс «Сам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себе режиссер»</w:t>
            </w:r>
          </w:p>
        </w:tc>
        <w:tc>
          <w:tcPr>
            <w:tcW w:w="1134" w:type="dxa"/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видеороликов,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выполненных к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конкурсу</w:t>
            </w:r>
          </w:p>
          <w:p w:rsidR="001C3C4F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Подведение итогов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Лучший сотрудник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Детской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Телестудии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«МАЛЫШ-ТВ»</w:t>
            </w:r>
          </w:p>
        </w:tc>
        <w:tc>
          <w:tcPr>
            <w:tcW w:w="1134" w:type="dxa"/>
          </w:tcPr>
          <w:p w:rsidR="001C3C4F" w:rsidRDefault="001C3C4F" w:rsidP="001C3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C4F" w:rsidTr="00590063">
        <w:tc>
          <w:tcPr>
            <w:tcW w:w="993" w:type="dxa"/>
            <w:tcBorders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интервьюирования</w:t>
            </w:r>
          </w:p>
        </w:tc>
        <w:tc>
          <w:tcPr>
            <w:tcW w:w="1134" w:type="dxa"/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rPr>
          <w:trHeight w:val="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Интервью «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 меня был дедушка…»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rPr>
          <w:trHeight w:val="2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интервьюирования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rPr>
          <w:trHeight w:val="26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Pr="00115E68">
              <w:rPr>
                <w:rFonts w:ascii="Times New Roman" w:hAnsi="Times New Roman" w:cs="Times New Roman"/>
                <w:sz w:val="20"/>
                <w:szCs w:val="20"/>
              </w:rPr>
              <w:t>интервьюирования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«Скоро лето»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rPr>
          <w:trHeight w:val="324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C3C4F" w:rsidRDefault="001C3C4F" w:rsidP="001C3C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11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диагностика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3C4F" w:rsidRPr="00B411BA" w:rsidRDefault="001C3C4F" w:rsidP="001C3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C4F" w:rsidTr="00590063">
        <w:tc>
          <w:tcPr>
            <w:tcW w:w="7088" w:type="dxa"/>
            <w:gridSpan w:val="3"/>
          </w:tcPr>
          <w:p w:rsidR="001C3C4F" w:rsidRDefault="001C3C4F" w:rsidP="001C3C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2DF">
              <w:rPr>
                <w:rFonts w:ascii="Times New Roman" w:hAnsi="Times New Roman" w:cs="Times New Roman"/>
                <w:sz w:val="24"/>
                <w:szCs w:val="24"/>
              </w:rPr>
              <w:t>Всего  по</w:t>
            </w:r>
            <w:proofErr w:type="gramEnd"/>
            <w:r w:rsidRPr="00DC32DF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программе</w:t>
            </w:r>
          </w:p>
        </w:tc>
        <w:tc>
          <w:tcPr>
            <w:tcW w:w="1134" w:type="dxa"/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1C3C4F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C3C4F" w:rsidRPr="00115E68" w:rsidRDefault="001C3C4F" w:rsidP="001C3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1C3C4F" w:rsidRPr="00D67AE3" w:rsidRDefault="001C3C4F" w:rsidP="001C3C4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45DA" w:rsidRDefault="000945DA"/>
    <w:sectPr w:rsidR="0009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6E34"/>
    <w:multiLevelType w:val="hybridMultilevel"/>
    <w:tmpl w:val="26DA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C9"/>
    <w:rsid w:val="000945DA"/>
    <w:rsid w:val="0019687B"/>
    <w:rsid w:val="001C3C4F"/>
    <w:rsid w:val="008E33C9"/>
    <w:rsid w:val="00E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FE640-22B7-48E9-9ACF-56755A3A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C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3C4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C3C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5</cp:revision>
  <dcterms:created xsi:type="dcterms:W3CDTF">2020-03-25T03:39:00Z</dcterms:created>
  <dcterms:modified xsi:type="dcterms:W3CDTF">2020-03-25T04:30:00Z</dcterms:modified>
</cp:coreProperties>
</file>