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450"/>
        <w:ind w:right="0" w:left="0" w:firstLine="0"/>
        <w:jc w:val="center"/>
        <w:rPr>
          <w:rFonts w:ascii="Trebuchet MS" w:hAnsi="Trebuchet MS" w:cs="Trebuchet MS" w:eastAsia="Trebuchet MS"/>
          <w:color w:val="475C7A"/>
          <w:spacing w:val="0"/>
          <w:position w:val="0"/>
          <w:sz w:val="38"/>
          <w:shd w:fill="FFFFFF" w:val="clear"/>
        </w:rPr>
      </w:pPr>
      <w:r>
        <w:rPr>
          <w:rFonts w:ascii="Times New Roman" w:hAnsi="Times New Roman" w:cs="Times New Roman" w:eastAsia="Times New Roman"/>
          <w:b/>
          <w:i/>
          <w:color w:val="FF0000"/>
          <w:spacing w:val="0"/>
          <w:position w:val="0"/>
          <w:sz w:val="40"/>
          <w:shd w:fill="FFFFFF" w:val="clear"/>
        </w:rPr>
        <w:t xml:space="preserve">Проект </w:t>
      </w:r>
      <w:r>
        <w:rPr>
          <w:rFonts w:ascii="Times New Roman" w:hAnsi="Times New Roman" w:cs="Times New Roman" w:eastAsia="Times New Roman"/>
          <w:b/>
          <w:i/>
          <w:color w:val="FF0000"/>
          <w:spacing w:val="0"/>
          <w:position w:val="0"/>
          <w:sz w:val="40"/>
          <w:shd w:fill="FFFFFF" w:val="clear"/>
        </w:rPr>
        <w:t xml:space="preserve">«</w:t>
      </w:r>
      <w:r>
        <w:rPr>
          <w:rFonts w:ascii="Times New Roman" w:hAnsi="Times New Roman" w:cs="Times New Roman" w:eastAsia="Times New Roman"/>
          <w:b/>
          <w:i/>
          <w:color w:val="FF0000"/>
          <w:spacing w:val="0"/>
          <w:position w:val="0"/>
          <w:sz w:val="40"/>
          <w:shd w:fill="FFFFFF" w:val="clear"/>
        </w:rPr>
        <w:t xml:space="preserve">Моя любимая игрушка</w:t>
      </w:r>
      <w:r>
        <w:rPr>
          <w:rFonts w:ascii="Times New Roman" w:hAnsi="Times New Roman" w:cs="Times New Roman" w:eastAsia="Times New Roman"/>
          <w:b/>
          <w:i/>
          <w:color w:val="FF0000"/>
          <w:spacing w:val="0"/>
          <w:position w:val="0"/>
          <w:sz w:val="40"/>
          <w:shd w:fill="FFFFFF" w:val="clear"/>
        </w:rPr>
        <w:t xml:space="preserve">»</w:t>
      </w:r>
    </w:p>
    <w:p>
      <w:pPr>
        <w:spacing w:before="150" w:after="150" w:line="293"/>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Информационная карта проекта</w:t>
      </w:r>
    </w:p>
    <w:p>
      <w:pPr>
        <w:spacing w:before="150" w:after="150" w:line="293"/>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Тип проекта:</w:t>
      </w:r>
      <w:r>
        <w:rPr>
          <w:rFonts w:ascii="Times New Roman" w:hAnsi="Times New Roman" w:cs="Times New Roman" w:eastAsia="Times New Roman"/>
          <w:color w:val="004DBB"/>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творческий, групповой.</w:t>
      </w:r>
    </w:p>
    <w:p>
      <w:pPr>
        <w:spacing w:before="150" w:after="150" w:line="293"/>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Продолжительность проекта:</w:t>
      </w:r>
      <w:r>
        <w:rPr>
          <w:rFonts w:ascii="Times New Roman" w:hAnsi="Times New Roman" w:cs="Times New Roman" w:eastAsia="Times New Roman"/>
          <w:color w:val="004DBB"/>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краткосрочный (1 неделя).</w:t>
      </w:r>
    </w:p>
    <w:p>
      <w:pPr>
        <w:spacing w:before="150" w:after="150" w:line="293"/>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Участники проекта:</w:t>
      </w:r>
      <w:r>
        <w:rPr>
          <w:rFonts w:ascii="Times New Roman" w:hAnsi="Times New Roman" w:cs="Times New Roman" w:eastAsia="Times New Roman"/>
          <w:color w:val="004DBB"/>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дети, воспитатели, родители.</w:t>
      </w:r>
    </w:p>
    <w:p>
      <w:pPr>
        <w:spacing w:before="150" w:after="150" w:line="293"/>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Возраст детей: </w:t>
      </w:r>
      <w:r>
        <w:rPr>
          <w:rFonts w:ascii="Times New Roman" w:hAnsi="Times New Roman" w:cs="Times New Roman" w:eastAsia="Times New Roman"/>
          <w:color w:val="auto"/>
          <w:spacing w:val="0"/>
          <w:position w:val="0"/>
          <w:sz w:val="28"/>
          <w:shd w:fill="FFFFFF" w:val="clear"/>
        </w:rPr>
        <w:t xml:space="preserve">2 - 3 года.</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Актуальность проблемы</w:t>
      </w:r>
      <w:r>
        <w:rPr>
          <w:rFonts w:ascii="Times New Roman" w:hAnsi="Times New Roman" w:cs="Times New Roman" w:eastAsia="Times New Roman"/>
          <w:color w:val="004DBB"/>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Важнейшей составной частью образовательной среды являются игра и игрушка. Игрушки для ребенка - та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среда</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которая позволяет исследовать окружающий мир, формировать и реализовывать творческие способности, выражать чувства; игрушки учат общаться и познавать себя. Подбор игрушек - дело серьезное и ответственное. От успешного решения этой проблемы зависят настроение ребенка и прогресс в его развитии. Иногда взрослые расстраиваются, даже сердятся на ребенка за то, что игрушки не используются, не подозревая, что он просто не умеет во все это играть. Сами по себе игрушки ничего для ребенка не будут значить, если он не знает, как и во что с ними играть.</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Проблема: </w:t>
      </w:r>
      <w:r>
        <w:rPr>
          <w:rFonts w:ascii="Times New Roman" w:hAnsi="Times New Roman" w:cs="Times New Roman" w:eastAsia="Times New Roman"/>
          <w:color w:val="auto"/>
          <w:spacing w:val="0"/>
          <w:position w:val="0"/>
          <w:sz w:val="28"/>
          <w:shd w:fill="FFFFFF" w:val="clear"/>
        </w:rPr>
        <w:t xml:space="preserve">В данном возрасте дети многие игрушки используют не по назначению, не умеют играть с ними.</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Цель проекта</w:t>
      </w:r>
      <w:r>
        <w:rPr>
          <w:rFonts w:ascii="Times New Roman" w:hAnsi="Times New Roman" w:cs="Times New Roman" w:eastAsia="Times New Roman"/>
          <w:color w:val="004DBB"/>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познакомить детей с обобщающим понятием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игрушки</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формирование знаний о свойствах, качествах и функциональным назначением игрушек.</w:t>
      </w:r>
    </w:p>
    <w:p>
      <w:pPr>
        <w:spacing w:before="150" w:after="150" w:line="293"/>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Задачи проекта</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Для детей:</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Познакомить детей с понятием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игрушки</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расширить представление об игрушках.</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 </w:t>
      </w:r>
      <w:r>
        <w:rPr>
          <w:rFonts w:ascii="Times New Roman" w:hAnsi="Times New Roman" w:cs="Times New Roman" w:eastAsia="Times New Roman"/>
          <w:color w:val="auto"/>
          <w:spacing w:val="0"/>
          <w:position w:val="0"/>
          <w:sz w:val="28"/>
          <w:shd w:fill="FFFFFF" w:val="clear"/>
        </w:rPr>
        <w:t xml:space="preserve">Вызвать интерес и желание играть с игрушками, использовать игрушку по назначению</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Развивать речевую активность детей.</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4. </w:t>
      </w:r>
      <w:r>
        <w:rPr>
          <w:rFonts w:ascii="Times New Roman" w:hAnsi="Times New Roman" w:cs="Times New Roman" w:eastAsia="Times New Roman"/>
          <w:color w:val="auto"/>
          <w:spacing w:val="0"/>
          <w:position w:val="0"/>
          <w:sz w:val="28"/>
          <w:shd w:fill="FFFFFF" w:val="clear"/>
        </w:rPr>
        <w:t xml:space="preserve">Научить включать в сюжетно-ролевые игры различные игрушки.</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5. </w:t>
      </w:r>
      <w:r>
        <w:rPr>
          <w:rFonts w:ascii="Times New Roman" w:hAnsi="Times New Roman" w:cs="Times New Roman" w:eastAsia="Times New Roman"/>
          <w:color w:val="auto"/>
          <w:spacing w:val="0"/>
          <w:position w:val="0"/>
          <w:sz w:val="28"/>
          <w:shd w:fill="FFFFFF" w:val="clear"/>
        </w:rPr>
        <w:t xml:space="preserve">Научить детей бережнее относиться к игрушкам.</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6. </w:t>
      </w:r>
      <w:r>
        <w:rPr>
          <w:rFonts w:ascii="Times New Roman" w:hAnsi="Times New Roman" w:cs="Times New Roman" w:eastAsia="Times New Roman"/>
          <w:color w:val="auto"/>
          <w:spacing w:val="0"/>
          <w:position w:val="0"/>
          <w:sz w:val="28"/>
          <w:shd w:fill="FFFFFF" w:val="clear"/>
        </w:rPr>
        <w:t xml:space="preserve">Учить играть дружно, вместе, не ссориться.</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Для педагогов</w:t>
      </w:r>
      <w:r>
        <w:rPr>
          <w:rFonts w:ascii="Times New Roman" w:hAnsi="Times New Roman" w:cs="Times New Roman" w:eastAsia="Times New Roman"/>
          <w:color w:val="004DBB"/>
          <w:spacing w:val="0"/>
          <w:position w:val="0"/>
          <w:sz w:val="28"/>
          <w:shd w:fill="FFFFFF" w:val="clear"/>
        </w:rPr>
        <w:t xml:space="preserve">:</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Повысить компетентность педагога по данной теме за счет внедрения проектной   деятельности.</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w:t>
      </w:r>
      <w:r>
        <w:rPr>
          <w:rFonts w:ascii="Times New Roman" w:hAnsi="Times New Roman" w:cs="Times New Roman" w:eastAsia="Times New Roman"/>
          <w:color w:val="auto"/>
          <w:spacing w:val="0"/>
          <w:position w:val="0"/>
          <w:sz w:val="28"/>
          <w:shd w:fill="FFFFFF" w:val="clear"/>
        </w:rPr>
        <w:t xml:space="preserve">Пополнить развивающую среду для самостоятельной деятельности детей.</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Для родителей</w:t>
      </w:r>
      <w:r>
        <w:rPr>
          <w:rFonts w:ascii="Times New Roman" w:hAnsi="Times New Roman" w:cs="Times New Roman" w:eastAsia="Times New Roman"/>
          <w:color w:val="004DBB"/>
          <w:spacing w:val="0"/>
          <w:position w:val="0"/>
          <w:sz w:val="28"/>
          <w:shd w:fill="FFFFFF" w:val="clear"/>
        </w:rPr>
        <w:t xml:space="preserve">:</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Дать родителям знания о значении игрушки, ее роли в игре ребенка через папки-передвижки, информацию на сайте.</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 </w:t>
      </w:r>
      <w:r>
        <w:rPr>
          <w:rFonts w:ascii="Times New Roman" w:hAnsi="Times New Roman" w:cs="Times New Roman" w:eastAsia="Times New Roman"/>
          <w:color w:val="auto"/>
          <w:spacing w:val="0"/>
          <w:position w:val="0"/>
          <w:sz w:val="28"/>
          <w:shd w:fill="FFFFFF" w:val="clear"/>
        </w:rPr>
        <w:t xml:space="preserve">Донести информацию о целесообразном педагогическом подборе игрушек.</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Обогатить родительский опыт приемами взаимодействия и сотрудничества с ребенком в семье.</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Основные направления реализации проекта</w:t>
      </w:r>
      <w:r>
        <w:rPr>
          <w:rFonts w:ascii="Times New Roman" w:hAnsi="Times New Roman" w:cs="Times New Roman" w:eastAsia="Times New Roman"/>
          <w:color w:val="004DBB"/>
          <w:spacing w:val="0"/>
          <w:position w:val="0"/>
          <w:sz w:val="28"/>
          <w:shd w:fill="FFFFFF" w:val="clear"/>
        </w:rPr>
        <w:t xml:space="preserve">:</w:t>
      </w:r>
    </w:p>
    <w:p>
      <w:pPr>
        <w:numPr>
          <w:ilvl w:val="0"/>
          <w:numId w:val="7"/>
        </w:numPr>
        <w:tabs>
          <w:tab w:val="left" w:pos="720" w:leader="none"/>
        </w:tabs>
        <w:spacing w:before="45" w:after="0" w:line="293"/>
        <w:ind w:right="0" w:left="165" w:hanging="36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Социально-нравственное развитие.</w:t>
      </w:r>
    </w:p>
    <w:p>
      <w:pPr>
        <w:numPr>
          <w:ilvl w:val="0"/>
          <w:numId w:val="7"/>
        </w:numPr>
        <w:tabs>
          <w:tab w:val="left" w:pos="720" w:leader="none"/>
        </w:tabs>
        <w:spacing w:before="45" w:after="0" w:line="293"/>
        <w:ind w:right="0" w:left="165" w:hanging="36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Развитие продуктивной деятельности.</w:t>
      </w:r>
    </w:p>
    <w:p>
      <w:pPr>
        <w:numPr>
          <w:ilvl w:val="0"/>
          <w:numId w:val="7"/>
        </w:numPr>
        <w:tabs>
          <w:tab w:val="left" w:pos="720" w:leader="none"/>
        </w:tabs>
        <w:spacing w:before="45" w:after="0" w:line="293"/>
        <w:ind w:right="0" w:left="165" w:hanging="36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Познавательно-исследовательское развитие.</w:t>
      </w:r>
    </w:p>
    <w:p>
      <w:pPr>
        <w:numPr>
          <w:ilvl w:val="0"/>
          <w:numId w:val="7"/>
        </w:numPr>
        <w:tabs>
          <w:tab w:val="left" w:pos="720" w:leader="none"/>
        </w:tabs>
        <w:spacing w:before="45" w:after="0" w:line="293"/>
        <w:ind w:right="0" w:left="165" w:hanging="36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Приобщение к художественной литературе.</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Название и форма итогового мероприятия</w:t>
      </w:r>
      <w:r>
        <w:rPr>
          <w:rFonts w:ascii="Times New Roman" w:hAnsi="Times New Roman" w:cs="Times New Roman" w:eastAsia="Times New Roman"/>
          <w:color w:val="004DBB"/>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Развлечение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Любимые игрушки</w:t>
      </w:r>
      <w:r>
        <w:rPr>
          <w:rFonts w:ascii="Times New Roman" w:hAnsi="Times New Roman" w:cs="Times New Roman" w:eastAsia="Times New Roman"/>
          <w:color w:val="auto"/>
          <w:spacing w:val="0"/>
          <w:position w:val="0"/>
          <w:sz w:val="28"/>
          <w:shd w:fill="FFFFFF" w:val="clear"/>
        </w:rPr>
        <w:t xml:space="preserve">».</w:t>
      </w:r>
    </w:p>
    <w:p>
      <w:pPr>
        <w:spacing w:before="150" w:after="150" w:line="293"/>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Дата проведения итогового мероприятия: </w:t>
      </w:r>
      <w:r>
        <w:rPr>
          <w:rFonts w:ascii="Times New Roman" w:hAnsi="Times New Roman" w:cs="Times New Roman" w:eastAsia="Times New Roman"/>
          <w:color w:val="auto"/>
          <w:spacing w:val="0"/>
          <w:position w:val="0"/>
          <w:sz w:val="28"/>
          <w:shd w:fill="FFFFFF" w:val="clear"/>
        </w:rPr>
        <w:t xml:space="preserve">с</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05.06.2017г. по 09.06.2017г.</w:t>
      </w:r>
    </w:p>
    <w:p>
      <w:pPr>
        <w:spacing w:before="150" w:after="150" w:line="293"/>
        <w:ind w:right="0" w:left="0" w:firstLine="0"/>
        <w:jc w:val="center"/>
        <w:rPr>
          <w:rFonts w:ascii="Verdana" w:hAnsi="Verdana" w:cs="Verdana" w:eastAsia="Verdana"/>
          <w:color w:val="auto"/>
          <w:spacing w:val="0"/>
          <w:position w:val="0"/>
          <w:sz w:val="20"/>
          <w:shd w:fill="FFFFFF" w:val="clear"/>
        </w:rPr>
      </w:pPr>
      <w:r>
        <w:rPr>
          <w:rFonts w:ascii="Times New Roman" w:hAnsi="Times New Roman" w:cs="Times New Roman" w:eastAsia="Times New Roman"/>
          <w:b/>
          <w:color w:val="004DBB"/>
          <w:spacing w:val="0"/>
          <w:position w:val="0"/>
          <w:sz w:val="28"/>
          <w:shd w:fill="FFFFFF" w:val="clear"/>
        </w:rPr>
        <w:t xml:space="preserve">Этапы осуществления проекта</w:t>
      </w:r>
    </w:p>
    <w:tbl>
      <w:tblPr>
        <w:tblInd w:w="98" w:type="dxa"/>
      </w:tblPr>
      <w:tblGrid>
        <w:gridCol w:w="3009"/>
        <w:gridCol w:w="6464"/>
      </w:tblGrid>
      <w:tr>
        <w:trPr>
          <w:trHeight w:val="1" w:hRule="atLeast"/>
          <w:jc w:val="left"/>
        </w:trPr>
        <w:tc>
          <w:tcPr>
            <w:tcW w:w="3009"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8"/>
                <w:shd w:fill="auto" w:val="clear"/>
              </w:rPr>
              <w:t xml:space="preserve">Этапы</w:t>
            </w: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8"/>
                <w:shd w:fill="auto" w:val="clear"/>
              </w:rPr>
              <w:t xml:space="preserve">Мероприятия</w:t>
            </w:r>
          </w:p>
        </w:tc>
      </w:tr>
      <w:tr>
        <w:trPr>
          <w:trHeight w:val="1" w:hRule="atLeast"/>
          <w:jc w:val="left"/>
        </w:trPr>
        <w:tc>
          <w:tcPr>
            <w:tcW w:w="3009" w:type="dxa"/>
            <w:vMerge w:val="restart"/>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w:t>
            </w:r>
            <w:r>
              <w:rPr>
                <w:rFonts w:ascii="Times New Roman" w:hAnsi="Times New Roman" w:cs="Times New Roman" w:eastAsia="Times New Roman"/>
                <w:b/>
                <w:color w:val="auto"/>
                <w:spacing w:val="0"/>
                <w:position w:val="0"/>
                <w:sz w:val="28"/>
                <w:shd w:fill="auto" w:val="clear"/>
              </w:rPr>
              <w:t xml:space="preserve">Подготовительный</w:t>
            </w:r>
          </w:p>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8"/>
                <w:shd w:fill="auto" w:val="clear"/>
              </w:rPr>
              <w:t xml:space="preserve">(05.06.)</w:t>
            </w: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Изучение и подбор материала. Разработка структуры проекта.</w:t>
            </w:r>
          </w:p>
        </w:tc>
      </w:tr>
      <w:tr>
        <w:trPr>
          <w:trHeight w:val="1" w:hRule="atLeast"/>
          <w:jc w:val="left"/>
        </w:trPr>
        <w:tc>
          <w:tcPr>
            <w:tcW w:w="3009"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Составление тематического планирования мероприятий</w:t>
            </w:r>
          </w:p>
        </w:tc>
      </w:tr>
      <w:tr>
        <w:trPr>
          <w:trHeight w:val="1" w:hRule="atLeast"/>
          <w:jc w:val="left"/>
        </w:trPr>
        <w:tc>
          <w:tcPr>
            <w:tcW w:w="3009"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Подбор дидактических игр</w:t>
            </w:r>
          </w:p>
        </w:tc>
      </w:tr>
      <w:tr>
        <w:trPr>
          <w:trHeight w:val="1" w:hRule="atLeast"/>
          <w:jc w:val="left"/>
        </w:trPr>
        <w:tc>
          <w:tcPr>
            <w:tcW w:w="3009"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Обсуждение с родителями детей вопросов, связанных с реализацией проекта</w:t>
            </w:r>
          </w:p>
        </w:tc>
      </w:tr>
      <w:tr>
        <w:trPr>
          <w:trHeight w:val="1" w:hRule="atLeast"/>
          <w:jc w:val="left"/>
        </w:trPr>
        <w:tc>
          <w:tcPr>
            <w:tcW w:w="3009" w:type="dxa"/>
            <w:vMerge w:val="restart"/>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w:t>
            </w:r>
            <w:r>
              <w:rPr>
                <w:rFonts w:ascii="Times New Roman" w:hAnsi="Times New Roman" w:cs="Times New Roman" w:eastAsia="Times New Roman"/>
                <w:b/>
                <w:color w:val="auto"/>
                <w:spacing w:val="0"/>
                <w:position w:val="0"/>
                <w:sz w:val="28"/>
                <w:shd w:fill="auto" w:val="clear"/>
              </w:rPr>
              <w:t xml:space="preserve">Основной</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 07.06.17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09.06.17)</w:t>
            </w:r>
          </w:p>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8"/>
                <w:shd w:fill="auto" w:val="clear"/>
              </w:rPr>
              <w:t xml:space="preserve"> </w:t>
            </w: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Беседы на темы: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Зачем нужны игрушки?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Моя любимая игрушка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Такие разные игрушки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Магазин игрушек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 чего сделаны игрушки?</w:t>
            </w:r>
            <w:r>
              <w:rPr>
                <w:rFonts w:ascii="Times New Roman" w:hAnsi="Times New Roman" w:cs="Times New Roman" w:eastAsia="Times New Roman"/>
                <w:color w:val="auto"/>
                <w:spacing w:val="0"/>
                <w:position w:val="0"/>
                <w:sz w:val="28"/>
                <w:shd w:fill="auto" w:val="clear"/>
              </w:rPr>
              <w:t xml:space="preserve">»</w:t>
            </w:r>
          </w:p>
        </w:tc>
      </w:tr>
      <w:tr>
        <w:trPr>
          <w:trHeight w:val="1" w:hRule="atLeast"/>
          <w:jc w:val="left"/>
        </w:trPr>
        <w:tc>
          <w:tcPr>
            <w:tcW w:w="3009"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Проведение дидактических игр: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Узнай на ощупь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Один - много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Найди по описанию</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 изменилось?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Найди игрушку такого же цвета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Чудесный мешочек</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w:t>
            </w:r>
          </w:p>
        </w:tc>
      </w:tr>
      <w:tr>
        <w:trPr>
          <w:trHeight w:val="1" w:hRule="atLeast"/>
          <w:jc w:val="left"/>
        </w:trPr>
        <w:tc>
          <w:tcPr>
            <w:tcW w:w="3009"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Рассматривание иллюстраций с изображением игрушек</w:t>
            </w:r>
          </w:p>
        </w:tc>
      </w:tr>
      <w:tr>
        <w:trPr>
          <w:trHeight w:val="870" w:hRule="auto"/>
          <w:jc w:val="left"/>
        </w:trPr>
        <w:tc>
          <w:tcPr>
            <w:tcW w:w="3009"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Изготовление самодельных игрушек на прогулке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Разноцветные тарелочки для кукол</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Рисование на прогулке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Подарок для любимой игрушки</w:t>
            </w:r>
            <w:r>
              <w:rPr>
                <w:rFonts w:ascii="Times New Roman" w:hAnsi="Times New Roman" w:cs="Times New Roman" w:eastAsia="Times New Roman"/>
                <w:color w:val="auto"/>
                <w:spacing w:val="0"/>
                <w:position w:val="0"/>
                <w:sz w:val="28"/>
                <w:shd w:fill="auto" w:val="clear"/>
              </w:rPr>
              <w:t xml:space="preserve">»</w:t>
            </w:r>
          </w:p>
        </w:tc>
      </w:tr>
      <w:tr>
        <w:trPr>
          <w:trHeight w:val="1" w:hRule="atLeast"/>
          <w:jc w:val="left"/>
        </w:trPr>
        <w:tc>
          <w:tcPr>
            <w:tcW w:w="3009"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Чтение стихотворений А. Барто из цикла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Игрушки</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w:t>
            </w:r>
          </w:p>
        </w:tc>
      </w:tr>
      <w:tr>
        <w:trPr>
          <w:trHeight w:val="1" w:hRule="atLeast"/>
          <w:jc w:val="left"/>
        </w:trPr>
        <w:tc>
          <w:tcPr>
            <w:tcW w:w="3009"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Проведение сюжетно-ролевых игры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Купание кукол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Магазин игрушек</w:t>
            </w:r>
            <w:r>
              <w:rPr>
                <w:rFonts w:ascii="Times New Roman" w:hAnsi="Times New Roman" w:cs="Times New Roman" w:eastAsia="Times New Roman"/>
                <w:color w:val="auto"/>
                <w:spacing w:val="0"/>
                <w:position w:val="0"/>
                <w:sz w:val="28"/>
                <w:shd w:fill="auto" w:val="clear"/>
              </w:rPr>
              <w:t xml:space="preserve">».</w:t>
            </w:r>
          </w:p>
        </w:tc>
      </w:tr>
      <w:tr>
        <w:trPr>
          <w:trHeight w:val="1" w:hRule="atLeast"/>
          <w:jc w:val="left"/>
        </w:trPr>
        <w:tc>
          <w:tcPr>
            <w:tcW w:w="3009"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Прогулка. Выбираем игрушки для прогулки</w:t>
            </w:r>
            <w:r>
              <w:rPr>
                <w:rFonts w:ascii="Times New Roman" w:hAnsi="Times New Roman" w:cs="Times New Roman" w:eastAsia="Times New Roman"/>
                <w:i/>
                <w:color w:val="auto"/>
                <w:spacing w:val="0"/>
                <w:position w:val="0"/>
                <w:sz w:val="28"/>
                <w:shd w:fill="auto" w:val="clear"/>
              </w:rPr>
              <w:t xml:space="preserve">.</w:t>
            </w:r>
          </w:p>
        </w:tc>
      </w:tr>
      <w:tr>
        <w:trPr>
          <w:trHeight w:val="1" w:hRule="atLeast"/>
          <w:jc w:val="left"/>
        </w:trPr>
        <w:tc>
          <w:tcPr>
            <w:tcW w:w="3009"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Чтение художественной литературы.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 магазине игрушек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 книги Ч. Янчарского (чтение)</w:t>
            </w:r>
            <w:r>
              <w:rPr>
                <w:rFonts w:ascii="Times New Roman" w:hAnsi="Times New Roman" w:cs="Times New Roman" w:eastAsia="Times New Roman"/>
                <w:i/>
                <w:color w:val="auto"/>
                <w:spacing w:val="0"/>
                <w:position w:val="0"/>
                <w:sz w:val="28"/>
                <w:shd w:fill="auto" w:val="clear"/>
              </w:rPr>
              <w:t xml:space="preserve">.</w:t>
            </w:r>
          </w:p>
        </w:tc>
      </w:tr>
      <w:tr>
        <w:trPr>
          <w:trHeight w:val="1" w:hRule="atLeast"/>
          <w:jc w:val="left"/>
        </w:trPr>
        <w:tc>
          <w:tcPr>
            <w:tcW w:w="3009"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4"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auto" w:val="clear"/>
              </w:rPr>
              <w:t xml:space="preserve">Оформление отчетной документации: Проект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Моя любимая игрушка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информация на сайте.</w:t>
            </w:r>
          </w:p>
        </w:tc>
      </w:tr>
    </w:tbl>
    <w:p>
      <w:pPr>
        <w:spacing w:before="150" w:after="150" w:line="240"/>
        <w:ind w:right="0" w:left="0" w:firstLine="0"/>
        <w:jc w:val="center"/>
        <w:rPr>
          <w:rFonts w:ascii="Times New Roman" w:hAnsi="Times New Roman" w:cs="Times New Roman" w:eastAsia="Times New Roman"/>
          <w:b/>
          <w:color w:val="303F50"/>
          <w:spacing w:val="0"/>
          <w:position w:val="0"/>
          <w:sz w:val="28"/>
          <w:shd w:fill="FFFFFF" w:val="clear"/>
        </w:rPr>
      </w:pPr>
      <w:r>
        <w:rPr>
          <w:rFonts w:ascii="Verdana" w:hAnsi="Verdana" w:cs="Verdana" w:eastAsia="Verdana"/>
          <w:b/>
          <w:color w:val="303F50"/>
          <w:spacing w:val="0"/>
          <w:position w:val="0"/>
          <w:sz w:val="20"/>
          <w:shd w:fill="FFFFFF" w:val="clear"/>
        </w:rPr>
        <w:t xml:space="preserve"> </w:t>
      </w:r>
    </w:p>
    <w:p>
      <w:pPr>
        <w:spacing w:before="150" w:after="150" w:line="293"/>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4DBB"/>
          <w:spacing w:val="0"/>
          <w:position w:val="0"/>
          <w:sz w:val="28"/>
          <w:shd w:fill="FFFFFF" w:val="clear"/>
        </w:rPr>
        <w:t xml:space="preserve">Список литературы</w:t>
      </w:r>
    </w:p>
    <w:p>
      <w:pPr>
        <w:spacing w:before="150" w:after="150" w:line="293"/>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Комплексные занятия по программе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От рожлдения до школы</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под ред. Н.Е. Вераксы, Т.С. Комаровой, М.А. Васильевой. Первая младшая группа / авт сост. О.П. Власенко [и др.].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Волгоград: Учитель, 2011.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292 </w:t>
      </w:r>
      <w:r>
        <w:rPr>
          <w:rFonts w:ascii="Times New Roman" w:hAnsi="Times New Roman" w:cs="Times New Roman" w:eastAsia="Times New Roman"/>
          <w:color w:val="auto"/>
          <w:spacing w:val="0"/>
          <w:position w:val="0"/>
          <w:sz w:val="28"/>
          <w:shd w:fill="FFFFFF" w:val="clear"/>
        </w:rPr>
        <w:t xml:space="preserve">с.</w:t>
      </w:r>
    </w:p>
    <w:p>
      <w:pPr>
        <w:spacing w:before="150" w:after="150" w:line="293"/>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 </w:t>
      </w:r>
      <w:r>
        <w:rPr>
          <w:rFonts w:ascii="Times New Roman" w:hAnsi="Times New Roman" w:cs="Times New Roman" w:eastAsia="Times New Roman"/>
          <w:color w:val="auto"/>
          <w:spacing w:val="0"/>
          <w:position w:val="0"/>
          <w:sz w:val="28"/>
          <w:shd w:fill="FFFFFF" w:val="clear"/>
        </w:rPr>
        <w:t xml:space="preserve">А. Барто. Игрушки.</w:t>
      </w:r>
    </w:p>
    <w:p>
      <w:pPr>
        <w:spacing w:before="150" w:after="150" w:line="293"/>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Загадки для развития речи, внимания, памяти и абстрактного мышления / сост. О.В. Узорова, Е.А. Нефедова. М.: АСТ: Астрель, 2005.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222 </w:t>
      </w:r>
      <w:r>
        <w:rPr>
          <w:rFonts w:ascii="Times New Roman" w:hAnsi="Times New Roman" w:cs="Times New Roman" w:eastAsia="Times New Roman"/>
          <w:color w:val="auto"/>
          <w:spacing w:val="0"/>
          <w:position w:val="0"/>
          <w:sz w:val="28"/>
          <w:shd w:fill="FFFFFF" w:val="clear"/>
        </w:rPr>
        <w:t xml:space="preserve">с.</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